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641B6" w14:textId="1A12034E" w:rsidR="009B27CB" w:rsidRDefault="004E0255">
      <w:r>
        <w:rPr>
          <w:rFonts w:ascii="Segoe UI" w:hAnsi="Segoe UI" w:cs="Segoe UI"/>
          <w:b/>
          <w:bCs/>
          <w:i/>
          <w:iCs/>
          <w:color w:val="696969"/>
          <w:sz w:val="29"/>
          <w:szCs w:val="29"/>
          <w:shd w:val="clear" w:color="auto" w:fill="FFFFFF"/>
        </w:rPr>
        <w:t>BIJLAGE 5</w:t>
      </w:r>
    </w:p>
    <w:p w14:paraId="0185C49F" w14:textId="486B699F" w:rsidR="0032671D" w:rsidRDefault="004E0255">
      <w:r>
        <w:t xml:space="preserve">UITTREKSEL </w:t>
      </w:r>
      <w:r w:rsidR="0032671D">
        <w:t>28 DECEMBER 1950. - Algemeen reglement op de gerechtskosten in strafzaken. (Bijlage van het Koninklijk besluit houdende algemeen reglement op de gerechtskosten in strafzaken, zie 1950-12-28/30)</w:t>
      </w:r>
    </w:p>
    <w:p w14:paraId="4B9733C5" w14:textId="28FBA156" w:rsidR="0032671D" w:rsidRDefault="0032671D">
      <w:r>
        <w:t>TITEL II. - ALGEMENE BEPALINGEN.</w:t>
      </w:r>
    </w:p>
    <w:p w14:paraId="5802C802" w14:textId="7DAC50FF" w:rsidR="0032671D" w:rsidRDefault="0032671D">
      <w:r>
        <w:t>HOOFDSTUK VII. - UITGAVEN GELIJKGESTELD MET DE GERECHTSKOSTEN IN STRAFZAKEN.</w:t>
      </w:r>
    </w:p>
    <w:p w14:paraId="47B8A19A" w14:textId="5E92838E" w:rsidR="0032671D" w:rsidRDefault="0032671D">
      <w:r>
        <w:t>Art. 143. In burgerlijke zaken en in tuchtzaken, wanneer de rechter of het openbaar ministerie ambtshalve handelt, worden de kosten, die door de akten en rechtsplegingen van de eigenlijke of oneigenlijke rechtspraak noodzakelijk worden gemaakt, voorgeschoten door (de Minister van Justitie) door de bemiddeling van de griffiers der hoven en rechtbanken. Deze kosten worden vastgesteld, betaald en, bij voorkomend geval, ingevorderd overeenkomstig dit reglement.</w:t>
      </w:r>
    </w:p>
    <w:p w14:paraId="39B1BD43" w14:textId="389935BE" w:rsidR="0032671D" w:rsidRDefault="0032671D">
      <w:r>
        <w:t xml:space="preserve">Art. 143bis. </w:t>
      </w:r>
      <w:r w:rsidRPr="004E0255">
        <w:rPr>
          <w:highlight w:val="yellow"/>
        </w:rPr>
        <w:t>De bemiddelaar, die erkend is door de in artikel 1727 van het Gerechtelijk Wetboek bedoelde commissie, ontvangt voor de in artikel 671, eerste lid, van het Gerechtelijk Wetboek bedoelde prestatie een ereloon van 40 EUR per uur</w:t>
      </w:r>
      <w:r w:rsidR="004E0255">
        <w:rPr>
          <w:rStyle w:val="Voetnootmarkering"/>
          <w:highlight w:val="yellow"/>
        </w:rPr>
        <w:footnoteReference w:id="1"/>
      </w:r>
      <w:r w:rsidRPr="004E0255">
        <w:rPr>
          <w:highlight w:val="yellow"/>
        </w:rPr>
        <w:t xml:space="preserve"> en dit ten belope van maximum twintig uur per bemiddeling. De erkende bemiddelaar ontvangt voor de kosten, bedoeld in artikel 671, eerste lid, van het Gerechtelijk Wetboek, een forfaitaire vergoeding van 50 EUR</w:t>
      </w:r>
      <w:r w:rsidR="004E0255">
        <w:rPr>
          <w:rStyle w:val="Voetnootmarkering"/>
          <w:highlight w:val="yellow"/>
        </w:rPr>
        <w:footnoteReference w:id="2"/>
      </w:r>
      <w:r w:rsidRPr="004E0255">
        <w:rPr>
          <w:highlight w:val="yellow"/>
        </w:rPr>
        <w:t xml:space="preserve"> per bemiddeling.</w:t>
      </w:r>
      <w:r>
        <w:t xml:space="preserve"> Het ereloon en de kosten van de bemiddelaar worden begroot, betaald en, bij voorkomend geval, ingevorderd overeenkomstig dit reglement. Indien niet alle partijen betrokken bij de bemiddeling genieten van rechtsbijstand, zullen de bedragen beoogd in voorafgaande leden worden verdeeld door het aantal partijen betrokken bij de bemiddeling en vermenigvuldigd met het aantal van de partijen die wel rechtsbijstand genieten.</w:t>
      </w:r>
    </w:p>
    <w:p w14:paraId="2937E283" w14:textId="1D5AA67D" w:rsidR="0032671D" w:rsidRDefault="0032671D">
      <w:r>
        <w:t xml:space="preserve">Art. 144. Hetzelfde geldt voor de uitvoering, op vervolging van het openbaar ministerie, der rogatoire </w:t>
      </w:r>
      <w:proofErr w:type="spellStart"/>
      <w:r>
        <w:t>commissiën</w:t>
      </w:r>
      <w:proofErr w:type="spellEnd"/>
      <w:r>
        <w:t xml:space="preserve"> in burgerlijke of handelszaken, die door buitenlandse rechters werden uitgevaardigd. De kosten worden ingevorderd overeenkomstig de gebruiken en de internationale overeenkomsten. Hetzelfde geldt voor de kosten van vervoer der vreemdelingen die naar de grens worden geleid en de kosten van betekening der besluiten van uitzetting.</w:t>
      </w:r>
    </w:p>
    <w:p w14:paraId="6B6EF38D" w14:textId="77777777" w:rsidR="004E0255" w:rsidRDefault="004E0255"/>
    <w:sectPr w:rsidR="004E025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704F6" w14:textId="77777777" w:rsidR="00136A6D" w:rsidRDefault="00136A6D" w:rsidP="004E0255">
      <w:pPr>
        <w:spacing w:after="0" w:line="240" w:lineRule="auto"/>
      </w:pPr>
      <w:r>
        <w:separator/>
      </w:r>
    </w:p>
  </w:endnote>
  <w:endnote w:type="continuationSeparator" w:id="0">
    <w:p w14:paraId="2F9A1B84" w14:textId="77777777" w:rsidR="00136A6D" w:rsidRDefault="00136A6D" w:rsidP="004E0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D3543" w14:textId="77777777" w:rsidR="00136A6D" w:rsidRDefault="00136A6D" w:rsidP="004E0255">
      <w:pPr>
        <w:spacing w:after="0" w:line="240" w:lineRule="auto"/>
      </w:pPr>
      <w:r>
        <w:separator/>
      </w:r>
    </w:p>
  </w:footnote>
  <w:footnote w:type="continuationSeparator" w:id="0">
    <w:p w14:paraId="5C10CF28" w14:textId="77777777" w:rsidR="00136A6D" w:rsidRDefault="00136A6D" w:rsidP="004E0255">
      <w:pPr>
        <w:spacing w:after="0" w:line="240" w:lineRule="auto"/>
      </w:pPr>
      <w:r>
        <w:continuationSeparator/>
      </w:r>
    </w:p>
  </w:footnote>
  <w:footnote w:id="1">
    <w:p w14:paraId="34FACE44" w14:textId="4B9CBFD8" w:rsidR="004E0255" w:rsidRDefault="004E0255">
      <w:pPr>
        <w:pStyle w:val="Voetnoottekst"/>
      </w:pPr>
      <w:r>
        <w:rPr>
          <w:rStyle w:val="Voetnootmarkering"/>
        </w:rPr>
        <w:footnoteRef/>
      </w:r>
      <w:r>
        <w:t xml:space="preserve"> Geïndexeerd bedrag per 1.1.2024 = 58,15</w:t>
      </w:r>
    </w:p>
  </w:footnote>
  <w:footnote w:id="2">
    <w:p w14:paraId="68AF8912" w14:textId="4C1E3283" w:rsidR="004E0255" w:rsidRDefault="004E0255">
      <w:pPr>
        <w:pStyle w:val="Voetnoottekst"/>
      </w:pPr>
      <w:r>
        <w:rPr>
          <w:rStyle w:val="Voetnootmarkering"/>
        </w:rPr>
        <w:footnoteRef/>
      </w:r>
      <w:r>
        <w:t xml:space="preserve"> Geïndexeerd bedrag per 1.1.2024 = 72,71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71D"/>
    <w:rsid w:val="0000125C"/>
    <w:rsid w:val="00122641"/>
    <w:rsid w:val="00136A6D"/>
    <w:rsid w:val="0032671D"/>
    <w:rsid w:val="004E0255"/>
    <w:rsid w:val="004E2FD2"/>
    <w:rsid w:val="007101EC"/>
    <w:rsid w:val="008F5386"/>
    <w:rsid w:val="009B27CB"/>
    <w:rsid w:val="00A05A05"/>
    <w:rsid w:val="00EE1DB5"/>
    <w:rsid w:val="00FF597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EF0CA"/>
  <w15:chartTrackingRefBased/>
  <w15:docId w15:val="{8AC3F10B-814E-4C2F-A799-2D8974FD2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HAnsi" w:hAnsiTheme="majorHAnsi" w:cstheme="majorBidi"/>
        <w:kern w:val="2"/>
        <w:sz w:val="26"/>
        <w:szCs w:val="26"/>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4E025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E0255"/>
    <w:rPr>
      <w:sz w:val="20"/>
      <w:szCs w:val="20"/>
    </w:rPr>
  </w:style>
  <w:style w:type="character" w:styleId="Voetnootmarkering">
    <w:name w:val="footnote reference"/>
    <w:basedOn w:val="Standaardalinea-lettertype"/>
    <w:uiPriority w:val="99"/>
    <w:semiHidden/>
    <w:unhideWhenUsed/>
    <w:rsid w:val="004E02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8262D-3A43-442C-82F9-CA5C58A17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1797</Characters>
  <Application>Microsoft Office Word</Application>
  <DocSecurity>0</DocSecurity>
  <Lines>14</Lines>
  <Paragraphs>4</Paragraphs>
  <ScaleCrop>false</ScaleCrop>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Noël DE SMET</dc:creator>
  <cp:keywords/>
  <dc:description/>
  <cp:lastModifiedBy>Noël DE SMET</cp:lastModifiedBy>
  <cp:revision>2</cp:revision>
  <dcterms:created xsi:type="dcterms:W3CDTF">2024-09-12T12:46:00Z</dcterms:created>
  <dcterms:modified xsi:type="dcterms:W3CDTF">2024-09-12T12:46:00Z</dcterms:modified>
</cp:coreProperties>
</file>